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A1" w:rsidRDefault="005328A1" w:rsidP="005328A1">
      <w:pPr>
        <w:ind w:firstLine="720"/>
        <w:rPr>
          <w:rFonts w:ascii="Times New Roman" w:hAnsi="Times New Roman"/>
          <w:b/>
          <w:spacing w:val="-8"/>
          <w:sz w:val="32"/>
          <w:szCs w:val="32"/>
        </w:rPr>
      </w:pPr>
      <w:r>
        <w:rPr>
          <w:rFonts w:ascii="Times New Roman" w:hAnsi="Times New Roman"/>
          <w:b/>
          <w:spacing w:val="-8"/>
          <w:sz w:val="32"/>
          <w:szCs w:val="32"/>
        </w:rPr>
        <w:t>Mẫu 8</w:t>
      </w:r>
    </w:p>
    <w:p w:rsidR="005328A1" w:rsidRDefault="005328A1" w:rsidP="005328A1">
      <w:pPr>
        <w:ind w:firstLine="720"/>
        <w:rPr>
          <w:rFonts w:ascii="Times New Roman" w:hAnsi="Times New Roman"/>
          <w:b/>
          <w:spacing w:val="-8"/>
          <w:sz w:val="32"/>
          <w:szCs w:val="32"/>
        </w:rPr>
      </w:pPr>
    </w:p>
    <w:tbl>
      <w:tblPr>
        <w:tblpPr w:leftFromText="180" w:rightFromText="180" w:horzAnchor="margin" w:tblpY="480"/>
        <w:tblW w:w="9917" w:type="dxa"/>
        <w:tblLayout w:type="fixed"/>
        <w:tblLook w:val="0000" w:firstRow="0" w:lastRow="0" w:firstColumn="0" w:lastColumn="0" w:noHBand="0" w:noVBand="0"/>
      </w:tblPr>
      <w:tblGrid>
        <w:gridCol w:w="3922"/>
        <w:gridCol w:w="236"/>
        <w:gridCol w:w="5759"/>
      </w:tblGrid>
      <w:tr w:rsidR="005328A1" w:rsidRPr="005328A1" w:rsidTr="00885C5D">
        <w:trPr>
          <w:cantSplit/>
          <w:trHeight w:val="1200"/>
        </w:trPr>
        <w:tc>
          <w:tcPr>
            <w:tcW w:w="3922" w:type="dxa"/>
            <w:tcBorders>
              <w:top w:val="nil"/>
              <w:left w:val="nil"/>
              <w:right w:val="nil"/>
            </w:tcBorders>
          </w:tcPr>
          <w:p w:rsidR="005328A1" w:rsidRPr="005328A1" w:rsidRDefault="005328A1" w:rsidP="005328A1">
            <w:pPr>
              <w:widowControl w:val="0"/>
              <w:jc w:val="center"/>
              <w:rPr>
                <w:rFonts w:ascii="Times New Roman" w:hAnsi="Times New Roman"/>
                <w:bCs/>
                <w:szCs w:val="26"/>
              </w:rPr>
            </w:pPr>
            <w:r>
              <w:rPr>
                <w:rFonts w:ascii="Times New Roman" w:hAnsi="Times New Roman"/>
                <w:bCs/>
                <w:noProof/>
                <w:sz w:val="26"/>
                <w:szCs w:val="26"/>
              </w:rPr>
              <mc:AlternateContent>
                <mc:Choice Requires="wps">
                  <w:drawing>
                    <wp:anchor distT="0" distB="0" distL="114300" distR="114300" simplePos="0" relativeHeight="251657216" behindDoc="0" locked="0" layoutInCell="0" allowOverlap="1">
                      <wp:simplePos x="0" y="0"/>
                      <wp:positionH relativeFrom="column">
                        <wp:posOffset>478790</wp:posOffset>
                      </wp:positionH>
                      <wp:positionV relativeFrom="paragraph">
                        <wp:posOffset>416560</wp:posOffset>
                      </wp:positionV>
                      <wp:extent cx="1244600" cy="0"/>
                      <wp:effectExtent l="12700"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2.8pt" to="135.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J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b5Pks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yPHWXcAAAACAEAAA8AAABkcnMvZG93bnJldi54bWxMj8FOwzAQRO9I&#10;/IO1SFwq6jTQFIU4FQJy40IBcd3GSxIRr9PYbQNfzyIOcNyZ0eybYj25Xh1oDJ1nA4t5Aoq49rbj&#10;xsDLc3VxDSpEZIu9ZzLwSQHW5elJgbn1R36iwyY2Sko45GigjXHItQ51Sw7D3A/E4r370WGUc2y0&#10;HfEo5a7XaZJk2mHH8qHFge5aqj82e2cgVK+0q75m9Sx5u2w8pbv7xwc05vxsur0BFWmKf2H4wRd0&#10;KIVp6/dsg+oNrJZXkjSQLTNQ4qerhQjbX0GXhf4/oPwGAAD//wMAUEsBAi0AFAAGAAgAAAAhALaD&#10;OJL+AAAA4QEAABMAAAAAAAAAAAAAAAAAAAAAAFtDb250ZW50X1R5cGVzXS54bWxQSwECLQAUAAYA&#10;CAAAACEAOP0h/9YAAACUAQAACwAAAAAAAAAAAAAAAAAvAQAAX3JlbHMvLnJlbHNQSwECLQAUAAYA&#10;CAAAACEAGALyfRwCAAA2BAAADgAAAAAAAAAAAAAAAAAuAgAAZHJzL2Uyb0RvYy54bWxQSwECLQAU&#10;AAYACAAAACEALI8dZdwAAAAIAQAADwAAAAAAAAAAAAAAAAB2BAAAZHJzL2Rvd25yZXYueG1sUEsF&#10;BgAAAAAEAAQA8wAAAH8FAAAAAA==&#10;" o:allowincell="f"/>
                  </w:pict>
                </mc:Fallback>
              </mc:AlternateContent>
            </w:r>
            <w:r>
              <w:rPr>
                <w:rFonts w:ascii="Times New Roman" w:hAnsi="Times New Roman"/>
                <w:b/>
                <w:bCs/>
                <w:noProof/>
                <w:sz w:val="26"/>
                <w:szCs w:val="26"/>
              </w:rPr>
              <mc:AlternateContent>
                <mc:Choice Requires="wps">
                  <w:drawing>
                    <wp:anchor distT="0" distB="0" distL="114300" distR="114300" simplePos="0" relativeHeight="251658240" behindDoc="0" locked="0" layoutInCell="0" allowOverlap="1">
                      <wp:simplePos x="0" y="0"/>
                      <wp:positionH relativeFrom="column">
                        <wp:posOffset>3524250</wp:posOffset>
                      </wp:positionH>
                      <wp:positionV relativeFrom="paragraph">
                        <wp:posOffset>413385</wp:posOffset>
                      </wp:positionV>
                      <wp:extent cx="1778000" cy="0"/>
                      <wp:effectExtent l="10160" t="5715" r="1206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32.55pt" to="41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yP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p0Wa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3V5F7dAAAACQEAAA8AAABkcnMvZG93bnJldi54bWxMj0FPwkAQhe8m&#10;/ofNmHghsgVSQkqnxKi9eRE1Xofu0DZ2Z0t3geqvd4kHPc6bl/e+l29G26kTD751gjCbJqBYKmda&#10;qRHeXsu7FSgfSAx1Thjhiz1siuurnDLjzvLCp22oVQwRnxFCE0Kfae2rhi35qetZ4m/vBkshnkOt&#10;zUDnGG47PU+SpbbUSmxoqOeHhqvP7dEi+PKdD+X3pJokH4va8fzw+PxEiLc34/0aVOAx/Jnhgh/R&#10;oYhMO3cU41WHkKZp3BIQlukMVDSsFhdh9yvoItf/FxQ/AAAA//8DAFBLAQItABQABgAIAAAAIQC2&#10;gziS/gAAAOEBAAATAAAAAAAAAAAAAAAAAAAAAABbQ29udGVudF9UeXBlc10ueG1sUEsBAi0AFAAG&#10;AAgAAAAhADj9If/WAAAAlAEAAAsAAAAAAAAAAAAAAAAALwEAAF9yZWxzLy5yZWxzUEsBAi0AFAAG&#10;AAgAAAAhANzBrI8cAgAANgQAAA4AAAAAAAAAAAAAAAAALgIAAGRycy9lMm9Eb2MueG1sUEsBAi0A&#10;FAAGAAgAAAAhAL3V5F7dAAAACQEAAA8AAAAAAAAAAAAAAAAAdgQAAGRycy9kb3ducmV2LnhtbFBL&#10;BQYAAAAABAAEAPMAAACABQAAAAA=&#10;" o:allowincell="f"/>
                  </w:pict>
                </mc:Fallback>
              </mc:AlternateContent>
            </w:r>
            <w:r>
              <w:rPr>
                <w:rFonts w:ascii="Times New Roman" w:hAnsi="Times New Roman"/>
                <w:bCs/>
                <w:szCs w:val="26"/>
              </w:rPr>
              <w:t>PHÒNG GD&amp;ĐT VĂN GIANG</w:t>
            </w:r>
          </w:p>
          <w:p w:rsidR="005328A1" w:rsidRPr="005328A1" w:rsidRDefault="005328A1" w:rsidP="005328A1">
            <w:pPr>
              <w:widowControl w:val="0"/>
              <w:jc w:val="center"/>
              <w:rPr>
                <w:rFonts w:ascii="Times New Roman" w:hAnsi="Times New Roman"/>
                <w:b/>
                <w:bCs/>
                <w:sz w:val="26"/>
                <w:szCs w:val="26"/>
              </w:rPr>
            </w:pPr>
            <w:r w:rsidRPr="005328A1">
              <w:rPr>
                <w:rFonts w:ascii="Times New Roman" w:hAnsi="Times New Roman"/>
                <w:b/>
                <w:bCs/>
                <w:sz w:val="26"/>
                <w:szCs w:val="26"/>
              </w:rPr>
              <w:t>TRƯỜNG</w:t>
            </w:r>
            <w:r>
              <w:rPr>
                <w:rFonts w:ascii="Times New Roman" w:hAnsi="Times New Roman"/>
                <w:b/>
                <w:bCs/>
                <w:sz w:val="26"/>
                <w:szCs w:val="26"/>
              </w:rPr>
              <w:t xml:space="preserve"> MN TT VĂN GIANG</w:t>
            </w:r>
          </w:p>
          <w:p w:rsidR="005328A1" w:rsidRPr="005328A1" w:rsidRDefault="005328A1" w:rsidP="005328A1">
            <w:pPr>
              <w:widowControl w:val="0"/>
              <w:jc w:val="center"/>
              <w:rPr>
                <w:rFonts w:ascii="Times New Roman" w:hAnsi="Times New Roman"/>
                <w:szCs w:val="26"/>
              </w:rPr>
            </w:pPr>
          </w:p>
          <w:p w:rsidR="005328A1" w:rsidRPr="005328A1" w:rsidRDefault="005328A1" w:rsidP="005328A1">
            <w:pPr>
              <w:widowControl w:val="0"/>
              <w:rPr>
                <w:rFonts w:ascii="Times New Roman" w:hAnsi="Times New Roman"/>
                <w:szCs w:val="26"/>
              </w:rPr>
            </w:pPr>
            <w:r w:rsidRPr="005328A1">
              <w:rPr>
                <w:rFonts w:ascii="Times New Roman" w:hAnsi="Times New Roman"/>
                <w:szCs w:val="26"/>
              </w:rPr>
              <w:t xml:space="preserve">            Số:        /BC</w:t>
            </w:r>
          </w:p>
        </w:tc>
        <w:tc>
          <w:tcPr>
            <w:tcW w:w="236" w:type="dxa"/>
            <w:tcBorders>
              <w:top w:val="nil"/>
              <w:left w:val="nil"/>
              <w:right w:val="nil"/>
            </w:tcBorders>
          </w:tcPr>
          <w:p w:rsidR="005328A1" w:rsidRPr="005328A1" w:rsidRDefault="005328A1" w:rsidP="005328A1">
            <w:pPr>
              <w:widowControl w:val="0"/>
              <w:jc w:val="both"/>
              <w:rPr>
                <w:rFonts w:ascii="Times New Roman" w:hAnsi="Times New Roman"/>
                <w:b/>
                <w:bCs/>
                <w:sz w:val="26"/>
                <w:szCs w:val="26"/>
              </w:rPr>
            </w:pPr>
          </w:p>
        </w:tc>
        <w:tc>
          <w:tcPr>
            <w:tcW w:w="5759" w:type="dxa"/>
            <w:tcBorders>
              <w:top w:val="nil"/>
              <w:left w:val="nil"/>
              <w:right w:val="nil"/>
            </w:tcBorders>
          </w:tcPr>
          <w:p w:rsidR="005328A1" w:rsidRPr="005328A1" w:rsidRDefault="005328A1" w:rsidP="005328A1">
            <w:pPr>
              <w:widowControl w:val="0"/>
              <w:jc w:val="center"/>
              <w:rPr>
                <w:rFonts w:ascii="Times New Roman" w:hAnsi="Times New Roman"/>
                <w:b/>
                <w:bCs/>
                <w:sz w:val="26"/>
                <w:szCs w:val="26"/>
              </w:rPr>
            </w:pPr>
            <w:r w:rsidRPr="005328A1">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5328A1">
                  <w:rPr>
                    <w:rFonts w:ascii="Times New Roman" w:hAnsi="Times New Roman"/>
                    <w:b/>
                    <w:bCs/>
                    <w:sz w:val="26"/>
                    <w:szCs w:val="26"/>
                  </w:rPr>
                  <w:t>NAM</w:t>
                </w:r>
              </w:smartTag>
            </w:smartTag>
          </w:p>
          <w:p w:rsidR="005328A1" w:rsidRPr="005328A1" w:rsidRDefault="005328A1" w:rsidP="005328A1">
            <w:pPr>
              <w:widowControl w:val="0"/>
              <w:jc w:val="center"/>
              <w:rPr>
                <w:rFonts w:ascii="Times New Roman" w:hAnsi="Times New Roman"/>
                <w:b/>
                <w:bCs/>
              </w:rPr>
            </w:pPr>
            <w:r w:rsidRPr="005328A1">
              <w:rPr>
                <w:rFonts w:ascii="Times New Roman" w:hAnsi="Times New Roman"/>
                <w:b/>
                <w:bCs/>
              </w:rPr>
              <w:t>Độc lập - Tự do - Hạnh phúc</w:t>
            </w:r>
          </w:p>
          <w:p w:rsidR="005328A1" w:rsidRPr="005328A1" w:rsidRDefault="005328A1" w:rsidP="005328A1">
            <w:pPr>
              <w:widowControl w:val="0"/>
              <w:jc w:val="center"/>
              <w:rPr>
                <w:rFonts w:ascii="Times New Roman" w:hAnsi="Times New Roman"/>
                <w:i/>
                <w:iCs/>
                <w:sz w:val="26"/>
                <w:szCs w:val="26"/>
              </w:rPr>
            </w:pPr>
          </w:p>
          <w:p w:rsidR="005328A1" w:rsidRPr="005328A1" w:rsidRDefault="005328A1" w:rsidP="005328A1">
            <w:pPr>
              <w:widowControl w:val="0"/>
              <w:jc w:val="center"/>
              <w:rPr>
                <w:rFonts w:ascii="Times New Roman" w:hAnsi="Times New Roman"/>
                <w:b/>
                <w:bCs/>
              </w:rPr>
            </w:pPr>
            <w:r>
              <w:rPr>
                <w:rFonts w:ascii="Times New Roman" w:hAnsi="Times New Roman"/>
                <w:i/>
                <w:iCs/>
              </w:rPr>
              <w:t>Văn giang</w:t>
            </w:r>
            <w:r w:rsidRPr="005328A1">
              <w:rPr>
                <w:rFonts w:ascii="Times New Roman" w:hAnsi="Times New Roman"/>
                <w:i/>
                <w:iCs/>
              </w:rPr>
              <w:t xml:space="preserve">, ngày </w:t>
            </w:r>
            <w:r w:rsidR="00BD1B7D">
              <w:rPr>
                <w:rFonts w:ascii="Times New Roman" w:hAnsi="Times New Roman"/>
                <w:i/>
                <w:iCs/>
              </w:rPr>
              <w:t xml:space="preserve">12 </w:t>
            </w:r>
            <w:r>
              <w:rPr>
                <w:rFonts w:ascii="Times New Roman" w:hAnsi="Times New Roman"/>
                <w:i/>
                <w:iCs/>
              </w:rPr>
              <w:t xml:space="preserve"> tháng 5 </w:t>
            </w:r>
            <w:r w:rsidRPr="005328A1">
              <w:rPr>
                <w:rFonts w:ascii="Times New Roman" w:hAnsi="Times New Roman"/>
                <w:i/>
                <w:iCs/>
              </w:rPr>
              <w:t xml:space="preserve">  năm </w:t>
            </w:r>
            <w:r>
              <w:rPr>
                <w:rFonts w:ascii="Times New Roman" w:hAnsi="Times New Roman"/>
                <w:i/>
                <w:iCs/>
              </w:rPr>
              <w:t>2019</w:t>
            </w:r>
          </w:p>
        </w:tc>
      </w:tr>
    </w:tbl>
    <w:p w:rsidR="005328A1" w:rsidRPr="005328A1" w:rsidRDefault="005328A1" w:rsidP="005328A1">
      <w:pPr>
        <w:rPr>
          <w:rFonts w:ascii="Times New Roman" w:hAnsi="Times New Roman"/>
          <w:b/>
          <w:spacing w:val="-8"/>
          <w:sz w:val="32"/>
          <w:szCs w:val="32"/>
        </w:rPr>
      </w:pPr>
      <w:r w:rsidRPr="005328A1">
        <w:rPr>
          <w:rFonts w:ascii="Times New Roman" w:hAnsi="Times New Roman"/>
          <w:b/>
          <w:spacing w:val="-8"/>
          <w:sz w:val="32"/>
          <w:szCs w:val="32"/>
        </w:rPr>
        <w:t xml:space="preserve">                                                          BÁO CÁO</w:t>
      </w:r>
    </w:p>
    <w:p w:rsidR="005328A1" w:rsidRPr="00FE43AB" w:rsidRDefault="005328A1" w:rsidP="005328A1">
      <w:pPr>
        <w:jc w:val="center"/>
        <w:rPr>
          <w:rFonts w:ascii="Times New Roman" w:hAnsi="Times New Roman"/>
          <w:b/>
          <w:spacing w:val="-8"/>
          <w:sz w:val="26"/>
          <w:szCs w:val="26"/>
        </w:rPr>
      </w:pPr>
      <w:r w:rsidRPr="00FE43AB">
        <w:rPr>
          <w:rFonts w:ascii="Times New Roman" w:hAnsi="Times New Roman"/>
          <w:b/>
          <w:spacing w:val="-8"/>
          <w:sz w:val="26"/>
          <w:szCs w:val="26"/>
        </w:rPr>
        <w:t>THỰC HIỆN BỒI DƯỠNG THƯỜNG XUYÊN NĂM HỌC 20</w:t>
      </w:r>
      <w:r w:rsidR="00BD1B7D">
        <w:rPr>
          <w:rFonts w:ascii="Times New Roman" w:hAnsi="Times New Roman"/>
          <w:b/>
          <w:spacing w:val="-8"/>
          <w:sz w:val="26"/>
          <w:szCs w:val="26"/>
        </w:rPr>
        <w:t xml:space="preserve">18 </w:t>
      </w:r>
      <w:r w:rsidRPr="00FE43AB">
        <w:rPr>
          <w:rFonts w:ascii="Times New Roman" w:hAnsi="Times New Roman"/>
          <w:b/>
          <w:spacing w:val="-8"/>
          <w:sz w:val="26"/>
          <w:szCs w:val="26"/>
        </w:rPr>
        <w:t>-20</w:t>
      </w:r>
      <w:r w:rsidR="00BD1B7D">
        <w:rPr>
          <w:rFonts w:ascii="Times New Roman" w:hAnsi="Times New Roman"/>
          <w:b/>
          <w:spacing w:val="-8"/>
          <w:sz w:val="26"/>
          <w:szCs w:val="26"/>
        </w:rPr>
        <w:t>19</w:t>
      </w:r>
    </w:p>
    <w:p w:rsidR="005328A1" w:rsidRPr="00382C73" w:rsidRDefault="005328A1" w:rsidP="005328A1">
      <w:pPr>
        <w:ind w:firstLine="720"/>
        <w:jc w:val="center"/>
        <w:rPr>
          <w:rFonts w:ascii="Times New Roman" w:hAnsi="Times New Roman"/>
          <w:b/>
          <w:spacing w:val="-8"/>
          <w:sz w:val="12"/>
        </w:rPr>
      </w:pPr>
    </w:p>
    <w:p w:rsidR="005328A1" w:rsidRDefault="005328A1" w:rsidP="005328A1">
      <w:pPr>
        <w:pStyle w:val="Normal1"/>
        <w:spacing w:before="0" w:beforeAutospacing="0" w:after="0" w:afterAutospacing="0"/>
        <w:jc w:val="center"/>
        <w:rPr>
          <w:bCs/>
          <w:spacing w:val="-4"/>
          <w:sz w:val="26"/>
          <w:szCs w:val="26"/>
        </w:rPr>
      </w:pPr>
    </w:p>
    <w:p w:rsidR="005328A1" w:rsidRPr="007F24FA" w:rsidRDefault="005328A1" w:rsidP="005328A1">
      <w:pPr>
        <w:pStyle w:val="Normal1"/>
        <w:spacing w:before="0" w:beforeAutospacing="0" w:after="0" w:afterAutospacing="0"/>
        <w:jc w:val="center"/>
        <w:rPr>
          <w:spacing w:val="-4"/>
          <w:sz w:val="26"/>
          <w:szCs w:val="26"/>
        </w:rPr>
      </w:pPr>
      <w:r w:rsidRPr="007F24FA">
        <w:rPr>
          <w:bCs/>
          <w:spacing w:val="-4"/>
          <w:sz w:val="26"/>
          <w:szCs w:val="26"/>
        </w:rPr>
        <w:t>Kính gửi:</w:t>
      </w:r>
      <w:r w:rsidRPr="007F24FA">
        <w:rPr>
          <w:spacing w:val="-4"/>
          <w:sz w:val="26"/>
          <w:szCs w:val="26"/>
        </w:rPr>
        <w:t xml:space="preserve"> </w:t>
      </w:r>
      <w:r w:rsidR="00BD1B7D">
        <w:rPr>
          <w:spacing w:val="-4"/>
          <w:sz w:val="26"/>
          <w:szCs w:val="26"/>
        </w:rPr>
        <w:t>Phòng giáo dục và đào tạo Văn Giang</w:t>
      </w:r>
    </w:p>
    <w:p w:rsidR="005328A1" w:rsidRPr="007F24FA" w:rsidRDefault="005328A1" w:rsidP="005328A1">
      <w:pPr>
        <w:tabs>
          <w:tab w:val="left" w:pos="7560"/>
        </w:tabs>
        <w:spacing w:before="120" w:after="120"/>
        <w:ind w:firstLine="720"/>
        <w:jc w:val="both"/>
        <w:rPr>
          <w:rFonts w:ascii="Times New Roman" w:hAnsi="Times New Roman"/>
          <w:b/>
          <w:color w:val="000000"/>
          <w:spacing w:val="-4"/>
          <w:sz w:val="26"/>
          <w:szCs w:val="26"/>
        </w:rPr>
      </w:pPr>
      <w:r w:rsidRPr="007F24FA">
        <w:rPr>
          <w:rFonts w:ascii="Times New Roman" w:hAnsi="Times New Roman"/>
          <w:color w:val="000000"/>
          <w:spacing w:val="-4"/>
          <w:sz w:val="26"/>
          <w:szCs w:val="26"/>
        </w:rPr>
        <w:t xml:space="preserve">Thực hiện Công văn số </w:t>
      </w:r>
      <w:r>
        <w:rPr>
          <w:rFonts w:ascii="Times New Roman" w:hAnsi="Times New Roman"/>
          <w:color w:val="000000"/>
          <w:spacing w:val="-4"/>
          <w:sz w:val="26"/>
          <w:szCs w:val="26"/>
        </w:rPr>
        <w:t xml:space="preserve">65 </w:t>
      </w:r>
      <w:r w:rsidRPr="007F24FA">
        <w:rPr>
          <w:rFonts w:ascii="Times New Roman" w:hAnsi="Times New Roman"/>
          <w:color w:val="000000"/>
          <w:spacing w:val="-4"/>
          <w:sz w:val="26"/>
          <w:szCs w:val="26"/>
        </w:rPr>
        <w:t>/</w:t>
      </w:r>
      <w:r>
        <w:rPr>
          <w:rFonts w:ascii="Times New Roman" w:hAnsi="Times New Roman"/>
          <w:color w:val="000000"/>
          <w:spacing w:val="-4"/>
          <w:sz w:val="26"/>
          <w:szCs w:val="26"/>
        </w:rPr>
        <w:t xml:space="preserve"> PDGĐT-GDMN ngày 25/3/2019</w:t>
      </w:r>
      <w:r w:rsidRPr="007F24FA">
        <w:rPr>
          <w:rFonts w:ascii="Times New Roman" w:hAnsi="Times New Roman"/>
          <w:color w:val="000000"/>
          <w:spacing w:val="-4"/>
          <w:sz w:val="26"/>
          <w:szCs w:val="26"/>
        </w:rPr>
        <w:t xml:space="preserve"> của </w:t>
      </w:r>
      <w:r>
        <w:rPr>
          <w:rFonts w:ascii="Times New Roman" w:hAnsi="Times New Roman"/>
          <w:color w:val="000000"/>
          <w:spacing w:val="-4"/>
          <w:sz w:val="26"/>
          <w:szCs w:val="26"/>
        </w:rPr>
        <w:t>PDG&amp;ĐT Huyện Văn Giang</w:t>
      </w:r>
      <w:r w:rsidRPr="007F24FA">
        <w:rPr>
          <w:rFonts w:ascii="Times New Roman" w:hAnsi="Times New Roman"/>
          <w:color w:val="000000"/>
          <w:spacing w:val="-4"/>
          <w:sz w:val="26"/>
          <w:szCs w:val="26"/>
        </w:rPr>
        <w:t xml:space="preserve"> về việc</w:t>
      </w:r>
      <w:r w:rsidRPr="007F24FA">
        <w:rPr>
          <w:rFonts w:ascii="Times New Roman" w:hAnsi="Times New Roman"/>
          <w:iCs/>
          <w:color w:val="000000"/>
          <w:spacing w:val="-4"/>
          <w:sz w:val="26"/>
          <w:szCs w:val="26"/>
        </w:rPr>
        <w:t xml:space="preserve"> </w:t>
      </w:r>
      <w:r w:rsidRPr="005328A1">
        <w:rPr>
          <w:rFonts w:ascii="Times New Roman" w:hAnsi="Times New Roman"/>
          <w:color w:val="000000"/>
          <w:spacing w:val="-2"/>
          <w:sz w:val="26"/>
          <w:szCs w:val="26"/>
        </w:rPr>
        <w:t>hướng dẫn thực hiện công tác bồi dưỡng thường xuyên năm học 2018- 2019 và các năm tiếp theo</w:t>
      </w:r>
      <w:r w:rsidRPr="007F24FA">
        <w:rPr>
          <w:rFonts w:ascii="Times New Roman" w:hAnsi="Times New Roman"/>
          <w:iCs/>
          <w:color w:val="000000"/>
          <w:spacing w:val="-4"/>
          <w:sz w:val="26"/>
          <w:szCs w:val="26"/>
        </w:rPr>
        <w:t xml:space="preserve">, </w:t>
      </w:r>
      <w:r>
        <w:rPr>
          <w:rFonts w:ascii="Times New Roman" w:hAnsi="Times New Roman"/>
          <w:iCs/>
          <w:color w:val="000000"/>
          <w:spacing w:val="-4"/>
          <w:sz w:val="26"/>
          <w:szCs w:val="26"/>
        </w:rPr>
        <w:t>trường mầm non thị trấn Văn Giang</w:t>
      </w:r>
      <w:r w:rsidRPr="007F24FA">
        <w:rPr>
          <w:rFonts w:ascii="Times New Roman" w:hAnsi="Times New Roman"/>
          <w:color w:val="000000"/>
          <w:spacing w:val="-4"/>
          <w:sz w:val="26"/>
          <w:szCs w:val="26"/>
        </w:rPr>
        <w:t xml:space="preserve"> báo cáo kết quả triển khai thực hiện BDTX năm học 20</w:t>
      </w:r>
      <w:r>
        <w:rPr>
          <w:rFonts w:ascii="Times New Roman" w:hAnsi="Times New Roman"/>
          <w:color w:val="000000"/>
          <w:spacing w:val="-4"/>
          <w:sz w:val="26"/>
          <w:szCs w:val="26"/>
        </w:rPr>
        <w:t>18</w:t>
      </w:r>
      <w:r w:rsidRPr="007F24FA">
        <w:rPr>
          <w:rFonts w:ascii="Times New Roman" w:hAnsi="Times New Roman"/>
          <w:color w:val="000000"/>
          <w:spacing w:val="-4"/>
          <w:sz w:val="26"/>
          <w:szCs w:val="26"/>
        </w:rPr>
        <w:t>-20</w:t>
      </w:r>
      <w:r>
        <w:rPr>
          <w:rFonts w:ascii="Times New Roman" w:hAnsi="Times New Roman"/>
          <w:color w:val="000000"/>
          <w:spacing w:val="-4"/>
          <w:sz w:val="26"/>
          <w:szCs w:val="26"/>
        </w:rPr>
        <w:t>19</w:t>
      </w:r>
      <w:r w:rsidRPr="007F24FA">
        <w:rPr>
          <w:rFonts w:ascii="Times New Roman" w:hAnsi="Times New Roman"/>
          <w:color w:val="000000"/>
          <w:spacing w:val="-4"/>
          <w:sz w:val="26"/>
          <w:szCs w:val="26"/>
        </w:rPr>
        <w:t xml:space="preserve"> như sau:</w:t>
      </w:r>
    </w:p>
    <w:p w:rsidR="005328A1" w:rsidRDefault="005328A1" w:rsidP="005328A1">
      <w:pPr>
        <w:spacing w:before="60" w:after="60"/>
        <w:ind w:firstLine="601"/>
        <w:jc w:val="both"/>
        <w:rPr>
          <w:rFonts w:ascii="Times New Roman" w:hAnsi="Times New Roman"/>
          <w:b/>
          <w:spacing w:val="-4"/>
          <w:sz w:val="26"/>
          <w:szCs w:val="26"/>
        </w:rPr>
      </w:pPr>
      <w:r>
        <w:rPr>
          <w:rFonts w:ascii="Times New Roman" w:hAnsi="Times New Roman"/>
          <w:b/>
          <w:spacing w:val="-4"/>
          <w:sz w:val="26"/>
          <w:szCs w:val="26"/>
        </w:rPr>
        <w:t>I</w:t>
      </w:r>
      <w:r w:rsidRPr="00D33EB5">
        <w:rPr>
          <w:rFonts w:ascii="Times New Roman" w:hAnsi="Times New Roman"/>
          <w:b/>
          <w:spacing w:val="-4"/>
          <w:sz w:val="26"/>
          <w:szCs w:val="26"/>
        </w:rPr>
        <w:t xml:space="preserve">. </w:t>
      </w:r>
      <w:r>
        <w:rPr>
          <w:rFonts w:ascii="Times New Roman" w:hAnsi="Times New Roman"/>
          <w:b/>
          <w:spacing w:val="-4"/>
          <w:sz w:val="26"/>
          <w:szCs w:val="26"/>
        </w:rPr>
        <w:t>Tình hình thực hiện Kế hoạch BDTX</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1. Phổ biến quy định về BDTX đến CBQL, giáo viên:</w:t>
      </w:r>
      <w:r>
        <w:rPr>
          <w:rFonts w:ascii="Times New Roman" w:hAnsi="Times New Roman"/>
          <w:color w:val="000000"/>
          <w:spacing w:val="-4"/>
          <w:sz w:val="26"/>
          <w:szCs w:val="26"/>
        </w:rPr>
        <w:t xml:space="preserve"> Nhà trường đã phổ biến các quy định về việc học BDTX đến cán bộ, giáo viên .</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CB, GV </w:t>
      </w:r>
      <w:r>
        <w:rPr>
          <w:rFonts w:ascii="Times New Roman" w:hAnsi="Times New Roman"/>
          <w:color w:val="000000"/>
          <w:spacing w:val="-4"/>
          <w:sz w:val="26"/>
          <w:szCs w:val="26"/>
        </w:rPr>
        <w:t xml:space="preserve">đã </w:t>
      </w:r>
      <w:r w:rsidRPr="008322C7">
        <w:rPr>
          <w:rFonts w:ascii="Times New Roman" w:hAnsi="Times New Roman"/>
          <w:color w:val="000000"/>
          <w:spacing w:val="-4"/>
          <w:sz w:val="26"/>
          <w:szCs w:val="26"/>
        </w:rPr>
        <w:t>học BDTX đúng kế hoạch của nhà trường, cá nhân đã đề ra.</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Học đúng thời gian, đúng nội dung các mô đun.</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Không </w:t>
      </w:r>
      <w:r>
        <w:rPr>
          <w:rFonts w:ascii="Times New Roman" w:hAnsi="Times New Roman"/>
          <w:color w:val="000000"/>
          <w:spacing w:val="-4"/>
          <w:sz w:val="26"/>
          <w:szCs w:val="26"/>
        </w:rPr>
        <w:t xml:space="preserve">có Cán bộ, giáo viên </w:t>
      </w:r>
      <w:r w:rsidRPr="008322C7">
        <w:rPr>
          <w:rFonts w:ascii="Times New Roman" w:hAnsi="Times New Roman"/>
          <w:color w:val="000000"/>
          <w:spacing w:val="-4"/>
          <w:sz w:val="26"/>
          <w:szCs w:val="26"/>
        </w:rPr>
        <w:t>sao chép, cắt xén nội dung của các mô đun.</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2. Tổ chức tự học:</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CB, GV </w:t>
      </w:r>
      <w:r>
        <w:rPr>
          <w:rFonts w:ascii="Times New Roman" w:hAnsi="Times New Roman"/>
          <w:color w:val="000000"/>
          <w:spacing w:val="-4"/>
          <w:sz w:val="26"/>
          <w:szCs w:val="26"/>
        </w:rPr>
        <w:t xml:space="preserve">đã </w:t>
      </w:r>
      <w:r w:rsidRPr="008322C7">
        <w:rPr>
          <w:rFonts w:ascii="Times New Roman" w:hAnsi="Times New Roman"/>
          <w:color w:val="000000"/>
          <w:spacing w:val="-4"/>
          <w:sz w:val="26"/>
          <w:szCs w:val="26"/>
        </w:rPr>
        <w:t>sắp xếp t</w:t>
      </w:r>
      <w:r>
        <w:rPr>
          <w:rFonts w:ascii="Times New Roman" w:hAnsi="Times New Roman"/>
          <w:color w:val="000000"/>
          <w:spacing w:val="-4"/>
          <w:sz w:val="26"/>
          <w:szCs w:val="26"/>
        </w:rPr>
        <w:t xml:space="preserve">hời gian lên kế hoạch hợp lý </w:t>
      </w:r>
      <w:r w:rsidRPr="008322C7">
        <w:rPr>
          <w:rFonts w:ascii="Times New Roman" w:hAnsi="Times New Roman"/>
          <w:color w:val="000000"/>
          <w:spacing w:val="-4"/>
          <w:sz w:val="26"/>
          <w:szCs w:val="26"/>
        </w:rPr>
        <w:t xml:space="preserve">đảm bảo việc tự học BDTX đúng tiến độ, kế hoạch đề ra. </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3. Cử giáo viên dự bồi dưỡng tập trung:</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w:t>
      </w:r>
      <w:r>
        <w:rPr>
          <w:rFonts w:ascii="Times New Roman" w:hAnsi="Times New Roman"/>
          <w:color w:val="000000"/>
          <w:spacing w:val="-4"/>
          <w:sz w:val="26"/>
          <w:szCs w:val="26"/>
        </w:rPr>
        <w:t>G</w:t>
      </w:r>
      <w:r w:rsidRPr="008322C7">
        <w:rPr>
          <w:rFonts w:ascii="Times New Roman" w:hAnsi="Times New Roman"/>
          <w:color w:val="000000"/>
          <w:spacing w:val="-4"/>
          <w:sz w:val="26"/>
          <w:szCs w:val="26"/>
        </w:rPr>
        <w:t xml:space="preserve">iáo viên tham gia đầy đủ các lớp BDTX do </w:t>
      </w:r>
      <w:r>
        <w:rPr>
          <w:rFonts w:ascii="Times New Roman" w:hAnsi="Times New Roman"/>
          <w:color w:val="000000"/>
          <w:spacing w:val="-4"/>
          <w:sz w:val="26"/>
          <w:szCs w:val="26"/>
        </w:rPr>
        <w:t xml:space="preserve">nhà trường cử đi học do </w:t>
      </w:r>
      <w:r w:rsidRPr="008322C7">
        <w:rPr>
          <w:rFonts w:ascii="Times New Roman" w:hAnsi="Times New Roman"/>
          <w:color w:val="000000"/>
          <w:spacing w:val="-4"/>
          <w:sz w:val="26"/>
          <w:szCs w:val="26"/>
        </w:rPr>
        <w:t>Sở và Phòng giáo dục đào tạo tổ chức.</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4. Tổ chức sinh hoạt tổ:</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Các tổ </w:t>
      </w:r>
      <w:r>
        <w:rPr>
          <w:rFonts w:ascii="Times New Roman" w:hAnsi="Times New Roman"/>
          <w:color w:val="000000"/>
          <w:spacing w:val="-4"/>
          <w:sz w:val="26"/>
          <w:szCs w:val="26"/>
        </w:rPr>
        <w:t xml:space="preserve">đã </w:t>
      </w:r>
      <w:r w:rsidRPr="008322C7">
        <w:rPr>
          <w:rFonts w:ascii="Times New Roman" w:hAnsi="Times New Roman"/>
          <w:color w:val="000000"/>
          <w:spacing w:val="-4"/>
          <w:sz w:val="26"/>
          <w:szCs w:val="26"/>
        </w:rPr>
        <w:t>lên kế hoạch hàng tháng</w:t>
      </w:r>
      <w:r>
        <w:rPr>
          <w:rFonts w:ascii="Times New Roman" w:hAnsi="Times New Roman"/>
          <w:color w:val="000000"/>
          <w:spacing w:val="-4"/>
          <w:sz w:val="26"/>
          <w:szCs w:val="26"/>
        </w:rPr>
        <w:t xml:space="preserve"> và nghiêm túc thưch hiện đúng kế hoạch đã đề ra. T</w:t>
      </w:r>
      <w:r w:rsidRPr="008322C7">
        <w:rPr>
          <w:rFonts w:ascii="Times New Roman" w:hAnsi="Times New Roman"/>
          <w:color w:val="000000"/>
          <w:spacing w:val="-4"/>
          <w:sz w:val="26"/>
          <w:szCs w:val="26"/>
        </w:rPr>
        <w:t>rong các buổi sinh hoạt chuyên môn để giáo viên trong tổ cùng trao đổi, thảo luận nội dung những môđun mà mình còn chưa hiểu rõ, thống nhất nội dung bài học.</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5. Tổ chức sinh hoạt chuyên môn liên trường: Không.</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6. Công tác kiểm tra: BGH nhà trường kết hợp cùng tổ trưởng tổ chuyên môn kiểm tra, đôn đốc giáo viên thực hiện bồi dưỡng thường xuyên theo đúng kế hoạch đề ra.</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7. Tài</w:t>
      </w:r>
      <w:r w:rsidR="003C3C6A">
        <w:rPr>
          <w:rFonts w:ascii="Times New Roman" w:hAnsi="Times New Roman"/>
          <w:color w:val="000000"/>
          <w:spacing w:val="-4"/>
          <w:sz w:val="26"/>
          <w:szCs w:val="26"/>
        </w:rPr>
        <w:t xml:space="preserve"> liệu: Tài </w:t>
      </w:r>
      <w:r w:rsidRPr="008322C7">
        <w:rPr>
          <w:rFonts w:ascii="Times New Roman" w:hAnsi="Times New Roman"/>
          <w:color w:val="000000"/>
          <w:spacing w:val="-4"/>
          <w:sz w:val="26"/>
          <w:szCs w:val="26"/>
        </w:rPr>
        <w:t xml:space="preserve"> liệu BDTX được tổ chức biên soạn và phát hành dưới dạnh ấn phẩm , băng hình, băng tiếng và các thiết bị lưu trữ thông tin khác đảm bảo các quy định của chương trình BDTX.</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-Qua địa chỉ truy cập khai thác tài liệu: http://tailieu.nhagiao.edu.vn</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8. Kinh phí: </w:t>
      </w:r>
      <w:r w:rsidR="003C3C6A">
        <w:rPr>
          <w:rFonts w:ascii="Times New Roman" w:hAnsi="Times New Roman"/>
          <w:color w:val="000000"/>
          <w:spacing w:val="-4"/>
          <w:sz w:val="26"/>
          <w:szCs w:val="26"/>
        </w:rPr>
        <w:t>Nhà trường đã trích kinh phí mua tài liệu cho CB, GV trong toàn trường với số tiền là:</w:t>
      </w:r>
      <w:r w:rsidRPr="008322C7">
        <w:rPr>
          <w:rFonts w:ascii="Times New Roman" w:hAnsi="Times New Roman"/>
          <w:color w:val="000000"/>
          <w:spacing w:val="-4"/>
          <w:sz w:val="26"/>
          <w:szCs w:val="26"/>
        </w:rPr>
        <w:t>.</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9. Tổ chức đánh giá xếp loại BDTX của GV):</w:t>
      </w:r>
      <w:r w:rsidR="003C3C6A">
        <w:rPr>
          <w:rFonts w:ascii="Times New Roman" w:hAnsi="Times New Roman"/>
          <w:color w:val="000000"/>
          <w:spacing w:val="-4"/>
          <w:sz w:val="26"/>
          <w:szCs w:val="26"/>
        </w:rPr>
        <w:t xml:space="preserve"> Nhà trường đã tổ chức đúng trình tự các bước đánh giá xếp loại BDTX :</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xml:space="preserve"> - Giaó viên tự đánh giá theo tiêu chí</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Tổ chuyên môn đánh giá</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t>- Nhà trường đánh giá và xếp loại</w:t>
      </w:r>
    </w:p>
    <w:p w:rsidR="008322C7" w:rsidRPr="008322C7" w:rsidRDefault="008322C7" w:rsidP="008322C7">
      <w:pPr>
        <w:spacing w:before="60" w:after="60"/>
        <w:ind w:firstLine="601"/>
        <w:jc w:val="both"/>
        <w:rPr>
          <w:rFonts w:ascii="Times New Roman" w:hAnsi="Times New Roman"/>
          <w:color w:val="000000"/>
          <w:spacing w:val="-4"/>
          <w:sz w:val="26"/>
          <w:szCs w:val="26"/>
        </w:rPr>
      </w:pPr>
      <w:r w:rsidRPr="008322C7">
        <w:rPr>
          <w:rFonts w:ascii="Times New Roman" w:hAnsi="Times New Roman"/>
          <w:color w:val="000000"/>
          <w:spacing w:val="-4"/>
          <w:sz w:val="26"/>
          <w:szCs w:val="26"/>
        </w:rPr>
        <w:lastRenderedPageBreak/>
        <w:t>10. Các vấn đề khác: Không</w:t>
      </w:r>
    </w:p>
    <w:p w:rsidR="005328A1" w:rsidRDefault="003C3C6A" w:rsidP="003C3C6A">
      <w:pPr>
        <w:spacing w:before="60" w:after="60"/>
        <w:jc w:val="both"/>
        <w:rPr>
          <w:rFonts w:ascii="Times New Roman" w:hAnsi="Times New Roman"/>
          <w:b/>
          <w:color w:val="000000"/>
          <w:spacing w:val="-4"/>
          <w:sz w:val="26"/>
          <w:szCs w:val="26"/>
        </w:rPr>
      </w:pPr>
      <w:r>
        <w:rPr>
          <w:rFonts w:ascii="Times New Roman" w:hAnsi="Times New Roman"/>
          <w:b/>
          <w:spacing w:val="-4"/>
          <w:sz w:val="26"/>
          <w:szCs w:val="26"/>
        </w:rPr>
        <w:t xml:space="preserve">          </w:t>
      </w:r>
      <w:r w:rsidR="005328A1">
        <w:rPr>
          <w:rFonts w:ascii="Times New Roman" w:hAnsi="Times New Roman"/>
          <w:b/>
          <w:color w:val="000000"/>
          <w:spacing w:val="-4"/>
          <w:sz w:val="26"/>
          <w:szCs w:val="26"/>
        </w:rPr>
        <w:t>II</w:t>
      </w:r>
      <w:r w:rsidR="005328A1" w:rsidRPr="007F24FA">
        <w:rPr>
          <w:rFonts w:ascii="Times New Roman" w:hAnsi="Times New Roman"/>
          <w:b/>
          <w:color w:val="000000"/>
          <w:spacing w:val="-4"/>
          <w:sz w:val="26"/>
          <w:szCs w:val="26"/>
        </w:rPr>
        <w:t xml:space="preserve">. </w:t>
      </w:r>
      <w:r w:rsidR="005328A1">
        <w:rPr>
          <w:rFonts w:ascii="Times New Roman" w:hAnsi="Times New Roman"/>
          <w:b/>
          <w:color w:val="000000"/>
          <w:spacing w:val="-4"/>
          <w:sz w:val="26"/>
          <w:szCs w:val="26"/>
        </w:rPr>
        <w:t>Đánh giá k</w:t>
      </w:r>
      <w:r w:rsidR="005328A1" w:rsidRPr="007F24FA">
        <w:rPr>
          <w:rFonts w:ascii="Times New Roman" w:hAnsi="Times New Roman"/>
          <w:b/>
          <w:color w:val="000000"/>
          <w:spacing w:val="-4"/>
          <w:sz w:val="26"/>
          <w:szCs w:val="26"/>
        </w:rPr>
        <w:t>ết quả BDTX</w:t>
      </w:r>
    </w:p>
    <w:p w:rsidR="005328A1" w:rsidRPr="007F24FA" w:rsidRDefault="005328A1" w:rsidP="005328A1">
      <w:pPr>
        <w:spacing w:before="60" w:after="60"/>
        <w:ind w:firstLine="601"/>
        <w:jc w:val="both"/>
        <w:rPr>
          <w:rFonts w:ascii="Times New Roman" w:hAnsi="Times New Roman"/>
          <w:b/>
          <w:color w:val="000000"/>
          <w:spacing w:val="-4"/>
          <w:sz w:val="26"/>
          <w:szCs w:val="26"/>
        </w:rPr>
      </w:pPr>
      <w:r>
        <w:rPr>
          <w:rFonts w:ascii="Times New Roman" w:hAnsi="Times New Roman"/>
          <w:b/>
          <w:color w:val="000000"/>
          <w:spacing w:val="-4"/>
          <w:sz w:val="26"/>
          <w:szCs w:val="26"/>
        </w:rPr>
        <w:t>1. Đối với</w:t>
      </w:r>
      <w:r w:rsidRPr="007F24FA">
        <w:rPr>
          <w:rFonts w:ascii="Times New Roman" w:hAnsi="Times New Roman"/>
          <w:b/>
          <w:color w:val="000000"/>
          <w:spacing w:val="-4"/>
          <w:sz w:val="26"/>
          <w:szCs w:val="26"/>
        </w:rPr>
        <w:t xml:space="preserve"> </w:t>
      </w:r>
      <w:r>
        <w:rPr>
          <w:rFonts w:ascii="Times New Roman" w:hAnsi="Times New Roman"/>
          <w:b/>
          <w:color w:val="000000"/>
          <w:spacing w:val="-4"/>
          <w:sz w:val="26"/>
          <w:szCs w:val="26"/>
        </w:rPr>
        <w:t xml:space="preserve">CBQL, </w:t>
      </w:r>
      <w:r w:rsidRPr="007F24FA">
        <w:rPr>
          <w:rFonts w:ascii="Times New Roman" w:hAnsi="Times New Roman"/>
          <w:b/>
          <w:color w:val="000000"/>
          <w:spacing w:val="-4"/>
          <w:sz w:val="26"/>
          <w:szCs w:val="26"/>
        </w:rPr>
        <w:t>giáo viên:</w:t>
      </w:r>
      <w:r w:rsidRPr="007F24FA">
        <w:rPr>
          <w:rFonts w:ascii="Times New Roman" w:hAnsi="Times New Roman"/>
          <w:b/>
          <w:color w:val="000000"/>
          <w:spacing w:val="-4"/>
          <w:sz w:val="26"/>
          <w:szCs w:val="26"/>
        </w:rPr>
        <w:tab/>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350"/>
        <w:gridCol w:w="900"/>
        <w:gridCol w:w="900"/>
        <w:gridCol w:w="900"/>
        <w:gridCol w:w="1800"/>
      </w:tblGrid>
      <w:tr w:rsidR="005328A1" w:rsidRPr="007F24FA" w:rsidTr="00885C5D">
        <w:tc>
          <w:tcPr>
            <w:tcW w:w="1843" w:type="dxa"/>
            <w:vMerge w:val="restart"/>
            <w:vAlign w:val="center"/>
          </w:tcPr>
          <w:p w:rsidR="005328A1" w:rsidRPr="007F24FA" w:rsidRDefault="005328A1" w:rsidP="00885C5D">
            <w:pPr>
              <w:jc w:val="center"/>
              <w:rPr>
                <w:rFonts w:ascii="Times New Roman" w:hAnsi="Times New Roman"/>
                <w:color w:val="000000"/>
                <w:spacing w:val="-4"/>
                <w:sz w:val="26"/>
                <w:szCs w:val="26"/>
                <w:lang w:val="pt-BR"/>
              </w:rPr>
            </w:pPr>
            <w:r>
              <w:rPr>
                <w:rFonts w:ascii="Times New Roman" w:hAnsi="Times New Roman"/>
                <w:color w:val="000000"/>
                <w:spacing w:val="-4"/>
                <w:sz w:val="26"/>
                <w:szCs w:val="26"/>
              </w:rPr>
              <w:t>Tổng số CBQL,</w:t>
            </w:r>
            <w:r w:rsidRPr="007F24FA">
              <w:rPr>
                <w:rFonts w:ascii="Times New Roman" w:hAnsi="Times New Roman"/>
                <w:color w:val="000000"/>
                <w:spacing w:val="-4"/>
                <w:sz w:val="26"/>
                <w:szCs w:val="26"/>
              </w:rPr>
              <w:t xml:space="preserve"> giáo viên</w:t>
            </w:r>
          </w:p>
        </w:tc>
        <w:tc>
          <w:tcPr>
            <w:tcW w:w="1701" w:type="dxa"/>
            <w:vMerge w:val="restart"/>
            <w:vAlign w:val="center"/>
          </w:tcPr>
          <w:p w:rsidR="005328A1" w:rsidRPr="007F24FA" w:rsidRDefault="005328A1" w:rsidP="00885C5D">
            <w:pPr>
              <w:jc w:val="center"/>
              <w:rPr>
                <w:rFonts w:ascii="Times New Roman" w:hAnsi="Times New Roman"/>
                <w:color w:val="000000"/>
                <w:spacing w:val="-4"/>
                <w:sz w:val="26"/>
                <w:szCs w:val="26"/>
                <w:lang w:val="pt-BR"/>
              </w:rPr>
            </w:pPr>
            <w:r w:rsidRPr="007F24FA">
              <w:rPr>
                <w:rFonts w:ascii="Times New Roman" w:hAnsi="Times New Roman"/>
                <w:color w:val="000000"/>
                <w:spacing w:val="-4"/>
                <w:sz w:val="26"/>
                <w:szCs w:val="26"/>
                <w:lang w:val="pt-BR"/>
              </w:rPr>
              <w:t>Số GV tham gia BDTX</w:t>
            </w:r>
          </w:p>
        </w:tc>
        <w:tc>
          <w:tcPr>
            <w:tcW w:w="1350" w:type="dxa"/>
            <w:vMerge w:val="restart"/>
            <w:vAlign w:val="center"/>
          </w:tcPr>
          <w:p w:rsidR="005328A1" w:rsidRPr="007F24FA" w:rsidRDefault="005328A1" w:rsidP="00885C5D">
            <w:pPr>
              <w:jc w:val="center"/>
              <w:rPr>
                <w:rFonts w:ascii="Times New Roman" w:hAnsi="Times New Roman"/>
                <w:color w:val="000000"/>
                <w:spacing w:val="-4"/>
                <w:sz w:val="26"/>
                <w:szCs w:val="26"/>
                <w:lang w:val="pt-BR"/>
              </w:rPr>
            </w:pPr>
            <w:r w:rsidRPr="007F24FA">
              <w:rPr>
                <w:rFonts w:ascii="Times New Roman" w:hAnsi="Times New Roman"/>
                <w:color w:val="000000"/>
                <w:spacing w:val="-4"/>
                <w:sz w:val="26"/>
                <w:szCs w:val="26"/>
              </w:rPr>
              <w:t>Số miễn, giảm, hoãn</w:t>
            </w:r>
          </w:p>
        </w:tc>
        <w:tc>
          <w:tcPr>
            <w:tcW w:w="4500" w:type="dxa"/>
            <w:gridSpan w:val="4"/>
            <w:vAlign w:val="center"/>
          </w:tcPr>
          <w:p w:rsidR="005328A1" w:rsidRPr="007F24FA" w:rsidRDefault="005328A1" w:rsidP="00885C5D">
            <w:pPr>
              <w:jc w:val="center"/>
              <w:rPr>
                <w:rFonts w:ascii="Times New Roman" w:hAnsi="Times New Roman"/>
                <w:color w:val="000000"/>
                <w:spacing w:val="-4"/>
                <w:sz w:val="26"/>
                <w:szCs w:val="26"/>
                <w:lang w:val="pt-BR"/>
              </w:rPr>
            </w:pPr>
            <w:r w:rsidRPr="007F24FA">
              <w:rPr>
                <w:rFonts w:ascii="Times New Roman" w:hAnsi="Times New Roman"/>
                <w:color w:val="000000"/>
                <w:spacing w:val="-4"/>
                <w:sz w:val="26"/>
                <w:szCs w:val="26"/>
                <w:lang w:val="pt-BR"/>
              </w:rPr>
              <w:t>Chia kết quả xêp loại BDTX</w:t>
            </w:r>
          </w:p>
        </w:tc>
      </w:tr>
      <w:tr w:rsidR="005328A1" w:rsidRPr="007F24FA" w:rsidTr="00885C5D">
        <w:tc>
          <w:tcPr>
            <w:tcW w:w="1843" w:type="dxa"/>
            <w:vMerge/>
          </w:tcPr>
          <w:p w:rsidR="005328A1" w:rsidRPr="007F24FA" w:rsidRDefault="005328A1" w:rsidP="00885C5D">
            <w:pPr>
              <w:jc w:val="both"/>
              <w:rPr>
                <w:rFonts w:ascii="Times New Roman" w:hAnsi="Times New Roman"/>
                <w:color w:val="000000"/>
                <w:spacing w:val="-4"/>
                <w:sz w:val="26"/>
                <w:szCs w:val="26"/>
                <w:lang w:val="pt-BR"/>
              </w:rPr>
            </w:pPr>
          </w:p>
        </w:tc>
        <w:tc>
          <w:tcPr>
            <w:tcW w:w="1701" w:type="dxa"/>
            <w:vMerge/>
          </w:tcPr>
          <w:p w:rsidR="005328A1" w:rsidRPr="007F24FA" w:rsidRDefault="005328A1" w:rsidP="00885C5D">
            <w:pPr>
              <w:jc w:val="both"/>
              <w:rPr>
                <w:rFonts w:ascii="Times New Roman" w:hAnsi="Times New Roman"/>
                <w:color w:val="000000"/>
                <w:spacing w:val="-4"/>
                <w:sz w:val="26"/>
                <w:szCs w:val="26"/>
                <w:lang w:val="pt-BR"/>
              </w:rPr>
            </w:pPr>
          </w:p>
        </w:tc>
        <w:tc>
          <w:tcPr>
            <w:tcW w:w="1350" w:type="dxa"/>
            <w:vMerge/>
          </w:tcPr>
          <w:p w:rsidR="005328A1" w:rsidRPr="007F24FA" w:rsidRDefault="005328A1" w:rsidP="00885C5D">
            <w:pPr>
              <w:jc w:val="both"/>
              <w:rPr>
                <w:rFonts w:ascii="Times New Roman" w:hAnsi="Times New Roman"/>
                <w:color w:val="000000"/>
                <w:spacing w:val="-4"/>
                <w:sz w:val="26"/>
                <w:szCs w:val="26"/>
                <w:lang w:val="pt-BR"/>
              </w:rPr>
            </w:pPr>
          </w:p>
        </w:tc>
        <w:tc>
          <w:tcPr>
            <w:tcW w:w="900" w:type="dxa"/>
          </w:tcPr>
          <w:p w:rsidR="005328A1" w:rsidRPr="007F24FA" w:rsidRDefault="005328A1" w:rsidP="00885C5D">
            <w:pPr>
              <w:jc w:val="both"/>
              <w:rPr>
                <w:rFonts w:ascii="Times New Roman" w:hAnsi="Times New Roman"/>
                <w:color w:val="000000"/>
                <w:spacing w:val="-4"/>
                <w:sz w:val="26"/>
                <w:szCs w:val="26"/>
              </w:rPr>
            </w:pPr>
            <w:r w:rsidRPr="007F24FA">
              <w:rPr>
                <w:rFonts w:ascii="Times New Roman" w:hAnsi="Times New Roman"/>
                <w:color w:val="000000"/>
                <w:spacing w:val="-4"/>
                <w:sz w:val="26"/>
                <w:szCs w:val="26"/>
              </w:rPr>
              <w:t>Giỏi</w:t>
            </w:r>
          </w:p>
        </w:tc>
        <w:tc>
          <w:tcPr>
            <w:tcW w:w="900" w:type="dxa"/>
          </w:tcPr>
          <w:p w:rsidR="005328A1" w:rsidRPr="007F24FA" w:rsidRDefault="005328A1" w:rsidP="00885C5D">
            <w:pPr>
              <w:jc w:val="both"/>
              <w:rPr>
                <w:rFonts w:ascii="Times New Roman" w:hAnsi="Times New Roman"/>
                <w:color w:val="000000"/>
                <w:spacing w:val="-4"/>
                <w:sz w:val="26"/>
                <w:szCs w:val="26"/>
              </w:rPr>
            </w:pPr>
            <w:r w:rsidRPr="007F24FA">
              <w:rPr>
                <w:rFonts w:ascii="Times New Roman" w:hAnsi="Times New Roman"/>
                <w:color w:val="000000"/>
                <w:spacing w:val="-4"/>
                <w:sz w:val="26"/>
                <w:szCs w:val="26"/>
              </w:rPr>
              <w:t>Khá</w:t>
            </w:r>
          </w:p>
        </w:tc>
        <w:tc>
          <w:tcPr>
            <w:tcW w:w="900" w:type="dxa"/>
          </w:tcPr>
          <w:p w:rsidR="005328A1" w:rsidRPr="007F24FA" w:rsidRDefault="005328A1" w:rsidP="00885C5D">
            <w:pPr>
              <w:jc w:val="both"/>
              <w:rPr>
                <w:rFonts w:ascii="Times New Roman" w:hAnsi="Times New Roman"/>
                <w:color w:val="000000"/>
                <w:spacing w:val="-4"/>
                <w:sz w:val="26"/>
                <w:szCs w:val="26"/>
              </w:rPr>
            </w:pPr>
            <w:r w:rsidRPr="007F24FA">
              <w:rPr>
                <w:rFonts w:ascii="Times New Roman" w:hAnsi="Times New Roman"/>
                <w:color w:val="000000"/>
                <w:spacing w:val="-4"/>
                <w:sz w:val="26"/>
                <w:szCs w:val="26"/>
              </w:rPr>
              <w:t>TB</w:t>
            </w:r>
          </w:p>
        </w:tc>
        <w:tc>
          <w:tcPr>
            <w:tcW w:w="1800" w:type="dxa"/>
          </w:tcPr>
          <w:p w:rsidR="005328A1" w:rsidRPr="007F24FA" w:rsidRDefault="005328A1" w:rsidP="00885C5D">
            <w:pPr>
              <w:jc w:val="both"/>
              <w:rPr>
                <w:rFonts w:ascii="Times New Roman" w:hAnsi="Times New Roman"/>
                <w:color w:val="000000"/>
                <w:spacing w:val="-4"/>
                <w:sz w:val="26"/>
                <w:szCs w:val="26"/>
              </w:rPr>
            </w:pPr>
            <w:r w:rsidRPr="007F24FA">
              <w:rPr>
                <w:rFonts w:ascii="Times New Roman" w:hAnsi="Times New Roman"/>
                <w:color w:val="000000"/>
                <w:spacing w:val="-4"/>
                <w:sz w:val="26"/>
                <w:szCs w:val="26"/>
              </w:rPr>
              <w:t>Không hoàn thành</w:t>
            </w:r>
          </w:p>
        </w:tc>
      </w:tr>
      <w:tr w:rsidR="005328A1" w:rsidRPr="007F24FA" w:rsidTr="00885C5D">
        <w:tc>
          <w:tcPr>
            <w:tcW w:w="1843" w:type="dxa"/>
          </w:tcPr>
          <w:p w:rsidR="005328A1" w:rsidRPr="007F24FA" w:rsidRDefault="00D53CAB"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43</w:t>
            </w:r>
          </w:p>
        </w:tc>
        <w:tc>
          <w:tcPr>
            <w:tcW w:w="1701" w:type="dxa"/>
          </w:tcPr>
          <w:p w:rsidR="005328A1" w:rsidRPr="007F24FA" w:rsidRDefault="00D53CAB"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39</w:t>
            </w:r>
          </w:p>
        </w:tc>
        <w:tc>
          <w:tcPr>
            <w:tcW w:w="1350" w:type="dxa"/>
          </w:tcPr>
          <w:p w:rsidR="005328A1" w:rsidRPr="007F24FA" w:rsidRDefault="00D53CAB"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1</w:t>
            </w:r>
          </w:p>
        </w:tc>
        <w:tc>
          <w:tcPr>
            <w:tcW w:w="900" w:type="dxa"/>
          </w:tcPr>
          <w:p w:rsidR="005328A1" w:rsidRPr="007F24FA" w:rsidRDefault="0088353D"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11</w:t>
            </w:r>
          </w:p>
        </w:tc>
        <w:tc>
          <w:tcPr>
            <w:tcW w:w="900" w:type="dxa"/>
          </w:tcPr>
          <w:p w:rsidR="005328A1" w:rsidRPr="007F24FA" w:rsidRDefault="0088353D"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17</w:t>
            </w:r>
          </w:p>
        </w:tc>
        <w:tc>
          <w:tcPr>
            <w:tcW w:w="900" w:type="dxa"/>
          </w:tcPr>
          <w:p w:rsidR="005328A1" w:rsidRPr="007F24FA" w:rsidRDefault="00BD1B7D"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14</w:t>
            </w:r>
          </w:p>
        </w:tc>
        <w:tc>
          <w:tcPr>
            <w:tcW w:w="1800" w:type="dxa"/>
          </w:tcPr>
          <w:p w:rsidR="005328A1" w:rsidRPr="007F24FA" w:rsidRDefault="00BD1B7D" w:rsidP="00885C5D">
            <w:pPr>
              <w:jc w:val="both"/>
              <w:rPr>
                <w:rFonts w:ascii="Times New Roman" w:hAnsi="Times New Roman"/>
                <w:color w:val="000000"/>
                <w:spacing w:val="-4"/>
                <w:sz w:val="26"/>
                <w:szCs w:val="26"/>
              </w:rPr>
            </w:pPr>
            <w:r>
              <w:rPr>
                <w:rFonts w:ascii="Times New Roman" w:hAnsi="Times New Roman"/>
                <w:color w:val="000000"/>
                <w:spacing w:val="-4"/>
                <w:sz w:val="26"/>
                <w:szCs w:val="26"/>
              </w:rPr>
              <w:t>0</w:t>
            </w:r>
          </w:p>
        </w:tc>
      </w:tr>
    </w:tbl>
    <w:p w:rsidR="00505681" w:rsidRDefault="005328A1" w:rsidP="00505681">
      <w:pPr>
        <w:spacing w:before="60"/>
        <w:ind w:firstLine="720"/>
        <w:jc w:val="both"/>
        <w:rPr>
          <w:rFonts w:ascii="Times New Roman" w:hAnsi="Times New Roman"/>
          <w:b/>
        </w:rPr>
      </w:pPr>
      <w:r w:rsidRPr="009A5900">
        <w:rPr>
          <w:rFonts w:ascii="Times New Roman" w:hAnsi="Times New Roman"/>
          <w:b/>
        </w:rPr>
        <w:t xml:space="preserve">2. Hiệu quả của công tác BDTX </w:t>
      </w:r>
      <w:r>
        <w:rPr>
          <w:rFonts w:ascii="Times New Roman" w:hAnsi="Times New Roman"/>
          <w:b/>
        </w:rPr>
        <w:t>đối với hoạt động của</w:t>
      </w:r>
      <w:r w:rsidRPr="009A5900">
        <w:rPr>
          <w:rFonts w:ascii="Times New Roman" w:hAnsi="Times New Roman"/>
          <w:b/>
        </w:rPr>
        <w:t xml:space="preserve"> đơn vị</w:t>
      </w:r>
      <w:r w:rsidR="00505681">
        <w:rPr>
          <w:rFonts w:ascii="Times New Roman" w:hAnsi="Times New Roman"/>
          <w:b/>
        </w:rPr>
        <w:t>.</w:t>
      </w:r>
    </w:p>
    <w:p w:rsidR="00574C63" w:rsidRDefault="008D2624" w:rsidP="00505681">
      <w:pPr>
        <w:pStyle w:val="NormalWeb"/>
        <w:spacing w:before="0" w:beforeAutospacing="0" w:after="0" w:afterAutospacing="0" w:line="330" w:lineRule="atLeast"/>
        <w:jc w:val="both"/>
        <w:textAlignment w:val="top"/>
        <w:rPr>
          <w:color w:val="000000"/>
          <w:sz w:val="28"/>
          <w:szCs w:val="28"/>
        </w:rPr>
      </w:pPr>
      <w:r w:rsidRPr="00574C63">
        <w:rPr>
          <w:b/>
          <w:sz w:val="28"/>
          <w:szCs w:val="28"/>
        </w:rPr>
        <w:t xml:space="preserve">     </w:t>
      </w:r>
      <w:r w:rsidR="00505681" w:rsidRPr="00574C63">
        <w:rPr>
          <w:color w:val="000000"/>
          <w:sz w:val="28"/>
          <w:szCs w:val="28"/>
        </w:rPr>
        <w:t xml:space="preserve">Thông </w:t>
      </w:r>
      <w:r w:rsidRPr="00574C63">
        <w:rPr>
          <w:color w:val="000000"/>
          <w:sz w:val="28"/>
          <w:szCs w:val="28"/>
        </w:rPr>
        <w:t>qua việc bồi dưỡng thường xuyên:</w:t>
      </w:r>
      <w:bookmarkStart w:id="0" w:name="_GoBack"/>
      <w:bookmarkEnd w:id="0"/>
    </w:p>
    <w:p w:rsidR="008D2624" w:rsidRPr="00574C63" w:rsidRDefault="00574C63" w:rsidP="00505681">
      <w:pPr>
        <w:pStyle w:val="NormalWeb"/>
        <w:spacing w:before="0" w:beforeAutospacing="0" w:after="0" w:afterAutospacing="0" w:line="330" w:lineRule="atLeast"/>
        <w:jc w:val="both"/>
        <w:textAlignment w:val="top"/>
        <w:rPr>
          <w:color w:val="000000"/>
          <w:sz w:val="28"/>
          <w:szCs w:val="28"/>
        </w:rPr>
      </w:pPr>
      <w:r>
        <w:rPr>
          <w:color w:val="000000"/>
          <w:sz w:val="28"/>
          <w:szCs w:val="28"/>
        </w:rPr>
        <w:t xml:space="preserve">    -</w:t>
      </w:r>
      <w:r w:rsidR="008D2624" w:rsidRPr="00574C63">
        <w:rPr>
          <w:color w:val="000000"/>
          <w:sz w:val="28"/>
          <w:szCs w:val="28"/>
        </w:rPr>
        <w:t xml:space="preserve"> </w:t>
      </w:r>
      <w:r>
        <w:rPr>
          <w:color w:val="000000"/>
          <w:sz w:val="28"/>
          <w:szCs w:val="28"/>
        </w:rPr>
        <w:t xml:space="preserve"> </w:t>
      </w:r>
      <w:r w:rsidR="008D2624" w:rsidRPr="00574C63">
        <w:rPr>
          <w:color w:val="000000"/>
          <w:sz w:val="28"/>
          <w:szCs w:val="28"/>
        </w:rPr>
        <w:t>Nâng cao ý thức thự học , tự trau dồi kiến thức của cán bộ , giáo viên từ đó hình thành thói quen tự học cho CB, GV.</w:t>
      </w:r>
    </w:p>
    <w:p w:rsidR="00505681" w:rsidRPr="00574C63" w:rsidRDefault="00574C63" w:rsidP="00505681">
      <w:pPr>
        <w:pStyle w:val="NormalWeb"/>
        <w:spacing w:before="0" w:beforeAutospacing="0" w:after="0" w:afterAutospacing="0" w:line="330" w:lineRule="atLeast"/>
        <w:jc w:val="both"/>
        <w:textAlignment w:val="top"/>
        <w:rPr>
          <w:color w:val="000000"/>
          <w:sz w:val="28"/>
          <w:szCs w:val="28"/>
        </w:rPr>
      </w:pPr>
      <w:r w:rsidRPr="00574C63">
        <w:rPr>
          <w:color w:val="000000"/>
          <w:sz w:val="28"/>
          <w:szCs w:val="28"/>
        </w:rPr>
        <w:t xml:space="preserve">    </w:t>
      </w:r>
      <w:r>
        <w:rPr>
          <w:color w:val="000000"/>
          <w:sz w:val="28"/>
          <w:szCs w:val="28"/>
        </w:rPr>
        <w:t>-</w:t>
      </w:r>
      <w:r w:rsidRPr="00574C63">
        <w:rPr>
          <w:color w:val="000000"/>
          <w:sz w:val="28"/>
          <w:szCs w:val="28"/>
        </w:rPr>
        <w:t xml:space="preserve"> </w:t>
      </w:r>
      <w:r w:rsidR="00505681" w:rsidRPr="00574C63">
        <w:rPr>
          <w:color w:val="000000"/>
          <w:sz w:val="28"/>
          <w:szCs w:val="28"/>
        </w:rPr>
        <w:t xml:space="preserve"> GV đã biết vận dụng hiệu quả và sáng tạo các kiến thức được học tập vào việc đ</w:t>
      </w:r>
      <w:r w:rsidR="008D2624" w:rsidRPr="00574C63">
        <w:rPr>
          <w:color w:val="000000"/>
          <w:sz w:val="28"/>
          <w:szCs w:val="28"/>
        </w:rPr>
        <w:t xml:space="preserve">ổi mới hoạt động dạy học, </w:t>
      </w:r>
      <w:r w:rsidRPr="00574C63">
        <w:rPr>
          <w:color w:val="000000"/>
          <w:sz w:val="28"/>
          <w:szCs w:val="28"/>
        </w:rPr>
        <w:t>từ đó nâng cao chất lượng của việc chăm sóc , giáo dục trẻ. Giaó viên nâng cao được trình độ chuyên môn nghiệp vụ, nâng cao nhận thức vai trò của việc áp dụng CNTT, thay đổi phương pháp dạy học .....</w:t>
      </w:r>
      <w:r w:rsidR="008D2624" w:rsidRPr="00574C63">
        <w:rPr>
          <w:color w:val="000000"/>
          <w:sz w:val="28"/>
          <w:szCs w:val="28"/>
        </w:rPr>
        <w:t xml:space="preserve">việc ứng dụng những </w:t>
      </w:r>
      <w:r w:rsidRPr="00574C63">
        <w:rPr>
          <w:color w:val="000000"/>
          <w:sz w:val="28"/>
          <w:szCs w:val="28"/>
        </w:rPr>
        <w:t>phần mềm trò chơi vào dạy học giúp cho hình thức dạy học phong phú, hấp dẫn thu hút trẻ. Giaó viên có thể tự lập kế hoạch , mục tiêu giáo dục năm học theo hướng lấy trẻ làm trung tâm ( nội dung học phù hợp với trình độ khả năng của cô/ trẻ)...</w:t>
      </w:r>
    </w:p>
    <w:p w:rsidR="005328A1" w:rsidRDefault="005328A1" w:rsidP="0088353D">
      <w:pPr>
        <w:spacing w:before="60"/>
        <w:jc w:val="both"/>
        <w:rPr>
          <w:rFonts w:ascii="Times New Roman" w:hAnsi="Times New Roman"/>
          <w:b/>
        </w:rPr>
      </w:pPr>
      <w:r>
        <w:rPr>
          <w:rFonts w:ascii="Times New Roman" w:hAnsi="Times New Roman"/>
          <w:b/>
        </w:rPr>
        <w:t>3. CBQL, giáo viên hoàn thành BDTX, đề nghị được công nhận và cấp Giấy chứng nhận hoàn thành BDTX năm học  20</w:t>
      </w:r>
      <w:r w:rsidR="00D53CAB">
        <w:rPr>
          <w:rFonts w:ascii="Times New Roman" w:hAnsi="Times New Roman"/>
          <w:b/>
        </w:rPr>
        <w:t>18</w:t>
      </w:r>
      <w:r>
        <w:rPr>
          <w:rFonts w:ascii="Times New Roman" w:hAnsi="Times New Roman"/>
          <w:b/>
        </w:rPr>
        <w:t>-20</w:t>
      </w:r>
      <w:r w:rsidR="00D53CAB">
        <w:rPr>
          <w:rFonts w:ascii="Times New Roman" w:hAnsi="Times New Roman"/>
          <w:b/>
        </w:rPr>
        <w:t>19</w:t>
      </w:r>
      <w:r>
        <w:rPr>
          <w:rFonts w:ascii="Times New Roman" w:hAnsi="Times New Roman"/>
          <w:b/>
        </w:rPr>
        <w:t xml:space="preserve">: </w:t>
      </w:r>
      <w:r w:rsidRPr="003E18E1">
        <w:rPr>
          <w:rFonts w:ascii="Times New Roman" w:hAnsi="Times New Roman"/>
        </w:rPr>
        <w:t xml:space="preserve">Theo danh sách </w:t>
      </w:r>
      <w:r>
        <w:rPr>
          <w:rFonts w:ascii="Times New Roman" w:hAnsi="Times New Roman"/>
        </w:rPr>
        <w:t xml:space="preserve">đính </w:t>
      </w:r>
      <w:r w:rsidRPr="003E18E1">
        <w:rPr>
          <w:rFonts w:ascii="Times New Roman" w:hAnsi="Times New Roman"/>
        </w:rPr>
        <w:t>kèm.</w:t>
      </w:r>
    </w:p>
    <w:p w:rsidR="005328A1" w:rsidRPr="009A5900" w:rsidRDefault="005328A1" w:rsidP="005328A1">
      <w:pPr>
        <w:spacing w:before="60"/>
        <w:ind w:firstLine="720"/>
        <w:rPr>
          <w:rFonts w:ascii="Times New Roman" w:hAnsi="Times New Roman"/>
          <w:b/>
        </w:rPr>
      </w:pPr>
      <w:r w:rsidRPr="009A5900">
        <w:rPr>
          <w:rFonts w:ascii="Times New Roman" w:hAnsi="Times New Roman"/>
          <w:b/>
        </w:rPr>
        <w:t>III. Đề nghị khen thưởng và xử lý kỷ luật (nếu có)</w:t>
      </w:r>
    </w:p>
    <w:p w:rsidR="005328A1" w:rsidRDefault="005328A1" w:rsidP="005328A1">
      <w:pPr>
        <w:spacing w:before="60"/>
        <w:ind w:firstLine="720"/>
        <w:rPr>
          <w:rFonts w:ascii="Times New Roman" w:hAnsi="Times New Roman"/>
          <w:b/>
        </w:rPr>
      </w:pPr>
      <w:r>
        <w:rPr>
          <w:rFonts w:ascii="Times New Roman" w:hAnsi="Times New Roman"/>
          <w:b/>
        </w:rPr>
        <w:t>IV</w:t>
      </w:r>
      <w:r w:rsidRPr="000D072A">
        <w:rPr>
          <w:rFonts w:ascii="Times New Roman" w:hAnsi="Times New Roman"/>
          <w:b/>
        </w:rPr>
        <w:t xml:space="preserve">. </w:t>
      </w:r>
      <w:r>
        <w:rPr>
          <w:rFonts w:ascii="Times New Roman" w:hAnsi="Times New Roman"/>
          <w:b/>
        </w:rPr>
        <w:t>Đề xuất, kiến nghị</w:t>
      </w:r>
      <w:r w:rsidR="00DA032D">
        <w:rPr>
          <w:rFonts w:ascii="Times New Roman" w:hAnsi="Times New Roman"/>
          <w:b/>
        </w:rPr>
        <w:t>. Không.</w:t>
      </w:r>
    </w:p>
    <w:p w:rsidR="005328A1" w:rsidRDefault="005328A1" w:rsidP="005328A1">
      <w:pPr>
        <w:spacing w:before="60"/>
        <w:ind w:firstLine="720"/>
        <w:rPr>
          <w:rFonts w:ascii="Times New Roman" w:hAnsi="Times New Roman"/>
          <w:b/>
        </w:rPr>
      </w:pPr>
    </w:p>
    <w:tbl>
      <w:tblPr>
        <w:tblW w:w="9942" w:type="dxa"/>
        <w:tblInd w:w="-34" w:type="dxa"/>
        <w:tblLayout w:type="fixed"/>
        <w:tblLook w:val="0000" w:firstRow="0" w:lastRow="0" w:firstColumn="0" w:lastColumn="0" w:noHBand="0" w:noVBand="0"/>
      </w:tblPr>
      <w:tblGrid>
        <w:gridCol w:w="5182"/>
        <w:gridCol w:w="4760"/>
      </w:tblGrid>
      <w:tr w:rsidR="005328A1" w:rsidRPr="004F74C9" w:rsidTr="00885C5D">
        <w:trPr>
          <w:trHeight w:val="381"/>
        </w:trPr>
        <w:tc>
          <w:tcPr>
            <w:tcW w:w="5182" w:type="dxa"/>
          </w:tcPr>
          <w:p w:rsidR="005328A1" w:rsidRPr="0098615D" w:rsidRDefault="005328A1" w:rsidP="00885C5D">
            <w:pPr>
              <w:pStyle w:val="abc"/>
              <w:jc w:val="both"/>
              <w:rPr>
                <w:rFonts w:ascii="Times New Roman" w:hAnsi="Times New Roman"/>
                <w:b/>
                <w:sz w:val="22"/>
                <w:lang w:val="fr-FR"/>
              </w:rPr>
            </w:pPr>
            <w:r>
              <w:rPr>
                <w:rFonts w:ascii="Times New Roman" w:hAnsi="Times New Roman"/>
                <w:b/>
                <w:i/>
                <w:sz w:val="24"/>
                <w:lang w:val="fr-FR"/>
              </w:rPr>
              <w:t>N</w:t>
            </w:r>
            <w:r w:rsidRPr="009500D2">
              <w:rPr>
                <w:rFonts w:ascii="Times New Roman" w:hAnsi="Times New Roman"/>
                <w:b/>
                <w:i/>
                <w:sz w:val="24"/>
                <w:lang w:val="fr-FR"/>
              </w:rPr>
              <w:t>ơi nhận:</w:t>
            </w:r>
          </w:p>
          <w:p w:rsidR="005328A1" w:rsidRDefault="005328A1" w:rsidP="00885C5D">
            <w:pPr>
              <w:pStyle w:val="abc"/>
              <w:jc w:val="both"/>
              <w:rPr>
                <w:rFonts w:ascii="Times New Roman" w:hAnsi="Times New Roman"/>
                <w:sz w:val="22"/>
                <w:lang w:val="fr-FR"/>
              </w:rPr>
            </w:pPr>
            <w:r w:rsidRPr="009500D2">
              <w:rPr>
                <w:rFonts w:ascii="Times New Roman" w:hAnsi="Times New Roman"/>
                <w:sz w:val="22"/>
                <w:lang w:val="fr-FR"/>
              </w:rPr>
              <w:t>-</w:t>
            </w:r>
            <w:r>
              <w:rPr>
                <w:rFonts w:ascii="Times New Roman" w:hAnsi="Times New Roman"/>
                <w:sz w:val="22"/>
                <w:lang w:val="fr-FR"/>
              </w:rPr>
              <w:t xml:space="preserve"> Như trên</w:t>
            </w:r>
            <w:r w:rsidRPr="009500D2">
              <w:rPr>
                <w:rFonts w:ascii="Times New Roman" w:hAnsi="Times New Roman"/>
                <w:sz w:val="22"/>
                <w:lang w:val="fr-FR"/>
              </w:rPr>
              <w:t>;</w:t>
            </w:r>
          </w:p>
          <w:p w:rsidR="005328A1" w:rsidRPr="00830AA6" w:rsidRDefault="005328A1" w:rsidP="00885C5D">
            <w:pPr>
              <w:pStyle w:val="abc"/>
              <w:jc w:val="both"/>
              <w:rPr>
                <w:rFonts w:ascii="Times New Roman" w:hAnsi="Times New Roman"/>
                <w:sz w:val="24"/>
                <w:lang w:val="fr-FR"/>
              </w:rPr>
            </w:pPr>
            <w:r w:rsidRPr="009500D2">
              <w:rPr>
                <w:rFonts w:ascii="Times New Roman" w:hAnsi="Times New Roman"/>
                <w:sz w:val="22"/>
                <w:lang w:val="fr-FR"/>
              </w:rPr>
              <w:t xml:space="preserve">- Lưu: </w:t>
            </w:r>
            <w:r>
              <w:rPr>
                <w:rFonts w:ascii="Times New Roman" w:hAnsi="Times New Roman"/>
                <w:sz w:val="22"/>
                <w:lang w:val="fr-FR"/>
              </w:rPr>
              <w:t>VT, ....</w:t>
            </w:r>
          </w:p>
        </w:tc>
        <w:tc>
          <w:tcPr>
            <w:tcW w:w="4760" w:type="dxa"/>
          </w:tcPr>
          <w:p w:rsidR="005328A1" w:rsidRDefault="005328A1" w:rsidP="00885C5D">
            <w:pPr>
              <w:pStyle w:val="abc"/>
              <w:jc w:val="center"/>
              <w:rPr>
                <w:rFonts w:ascii="Times New Roman" w:hAnsi="Times New Roman"/>
                <w:b/>
                <w:sz w:val="26"/>
                <w:lang w:val="fr-FR"/>
              </w:rPr>
            </w:pPr>
            <w:r>
              <w:rPr>
                <w:rFonts w:ascii="Times New Roman" w:hAnsi="Times New Roman"/>
                <w:b/>
                <w:sz w:val="26"/>
                <w:lang w:val="fr-FR"/>
              </w:rPr>
              <w:t>HIỆU TRƯỞNG</w:t>
            </w:r>
          </w:p>
          <w:p w:rsidR="005328A1" w:rsidRPr="0017215C" w:rsidRDefault="005328A1" w:rsidP="00885C5D">
            <w:pPr>
              <w:pStyle w:val="abc"/>
              <w:jc w:val="center"/>
              <w:rPr>
                <w:rFonts w:ascii="Times New Roman" w:hAnsi="Times New Roman"/>
                <w:sz w:val="26"/>
                <w:lang w:val="fr-FR"/>
              </w:rPr>
            </w:pPr>
            <w:r w:rsidRPr="0017215C">
              <w:rPr>
                <w:rFonts w:ascii="Times New Roman" w:hAnsi="Times New Roman"/>
                <w:sz w:val="26"/>
                <w:lang w:val="fr-FR"/>
              </w:rPr>
              <w:t>(ký, đóng dấu)</w:t>
            </w:r>
          </w:p>
          <w:p w:rsidR="005328A1" w:rsidRPr="007D7977" w:rsidRDefault="005328A1" w:rsidP="00885C5D">
            <w:pPr>
              <w:pStyle w:val="abc"/>
              <w:jc w:val="both"/>
              <w:rPr>
                <w:rFonts w:ascii="Times New Roman" w:hAnsi="Times New Roman"/>
                <w:b/>
                <w:lang w:val="fr-FR"/>
              </w:rPr>
            </w:pPr>
          </w:p>
        </w:tc>
      </w:tr>
    </w:tbl>
    <w:p w:rsidR="005328A1" w:rsidRPr="000D072A" w:rsidRDefault="005328A1" w:rsidP="005328A1">
      <w:pPr>
        <w:spacing w:before="60"/>
        <w:rPr>
          <w:rFonts w:ascii="Times New Roman" w:hAnsi="Times New Roman"/>
          <w:b/>
        </w:rPr>
      </w:pPr>
    </w:p>
    <w:p w:rsidR="005328A1" w:rsidRDefault="005328A1" w:rsidP="005328A1">
      <w:pPr>
        <w:rPr>
          <w:rFonts w:ascii="Times New Roman" w:hAnsi="Times New Roman"/>
          <w:b/>
          <w:spacing w:val="-8"/>
          <w:sz w:val="32"/>
          <w:szCs w:val="32"/>
        </w:rPr>
      </w:pPr>
    </w:p>
    <w:sectPr w:rsidR="005328A1" w:rsidSect="005328A1">
      <w:pgSz w:w="11907" w:h="16840" w:code="9"/>
      <w:pgMar w:top="1135" w:right="964" w:bottom="397" w:left="1531" w:header="720" w:footer="36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A1"/>
    <w:rsid w:val="00113416"/>
    <w:rsid w:val="003C3C6A"/>
    <w:rsid w:val="00505681"/>
    <w:rsid w:val="005328A1"/>
    <w:rsid w:val="00574C63"/>
    <w:rsid w:val="008322C7"/>
    <w:rsid w:val="0088353D"/>
    <w:rsid w:val="008D2624"/>
    <w:rsid w:val="00BD1B7D"/>
    <w:rsid w:val="00D53CAB"/>
    <w:rsid w:val="00DA032D"/>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5328A1"/>
    <w:pPr>
      <w:widowControl w:val="0"/>
    </w:pPr>
    <w:rPr>
      <w:szCs w:val="20"/>
    </w:rPr>
  </w:style>
  <w:style w:type="paragraph" w:customStyle="1" w:styleId="Normal1">
    <w:name w:val="Normal1"/>
    <w:basedOn w:val="Normal"/>
    <w:rsid w:val="005328A1"/>
    <w:pPr>
      <w:shd w:val="clear" w:color="auto" w:fill="FFFFFF"/>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50568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5328A1"/>
    <w:pPr>
      <w:widowControl w:val="0"/>
    </w:pPr>
    <w:rPr>
      <w:szCs w:val="20"/>
    </w:rPr>
  </w:style>
  <w:style w:type="paragraph" w:customStyle="1" w:styleId="Normal1">
    <w:name w:val="Normal1"/>
    <w:basedOn w:val="Normal"/>
    <w:rsid w:val="005328A1"/>
    <w:pPr>
      <w:shd w:val="clear" w:color="auto" w:fill="FFFFFF"/>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50568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8</cp:revision>
  <dcterms:created xsi:type="dcterms:W3CDTF">2019-05-08T02:55:00Z</dcterms:created>
  <dcterms:modified xsi:type="dcterms:W3CDTF">2019-05-14T14:39:00Z</dcterms:modified>
</cp:coreProperties>
</file>